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5897" w14:textId="77777777" w:rsidR="007937F7" w:rsidRPr="00647667" w:rsidRDefault="00647667" w:rsidP="0064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47667">
        <w:rPr>
          <w:b/>
        </w:rPr>
        <w:t>SALISBURY TRUST FOR THE HOMELESS</w:t>
      </w:r>
    </w:p>
    <w:p w14:paraId="66065E63" w14:textId="77777777" w:rsidR="00647667" w:rsidRPr="00647667" w:rsidRDefault="00647667" w:rsidP="0064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47667">
        <w:rPr>
          <w:b/>
        </w:rPr>
        <w:t>ANNUA</w:t>
      </w:r>
      <w:r w:rsidR="00E267E0">
        <w:rPr>
          <w:b/>
        </w:rPr>
        <w:t>L REVIEW OF GOVERNANCE</w:t>
      </w:r>
    </w:p>
    <w:p w14:paraId="1D5FEB63" w14:textId="77777777" w:rsidR="00647667" w:rsidRPr="00647667" w:rsidRDefault="00A41747" w:rsidP="0064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JULY 2021</w:t>
      </w:r>
    </w:p>
    <w:p w14:paraId="03D5EC44" w14:textId="77777777" w:rsidR="00647667" w:rsidRDefault="00647667"/>
    <w:p w14:paraId="40D5A221" w14:textId="77777777" w:rsidR="00647667" w:rsidRPr="00647667" w:rsidRDefault="00647667">
      <w:pPr>
        <w:rPr>
          <w:b/>
        </w:rPr>
      </w:pPr>
      <w:r w:rsidRPr="00647667">
        <w:rPr>
          <w:b/>
        </w:rPr>
        <w:t>ANNUAL REVIEW</w:t>
      </w:r>
    </w:p>
    <w:p w14:paraId="5EB99305" w14:textId="77777777" w:rsidR="007A54FA" w:rsidRDefault="00647667" w:rsidP="00647667">
      <w:pPr>
        <w:jc w:val="both"/>
      </w:pPr>
      <w:proofErr w:type="gramStart"/>
      <w:r>
        <w:t xml:space="preserve">The </w:t>
      </w:r>
      <w:r w:rsidR="00C03563">
        <w:t xml:space="preserve"> National</w:t>
      </w:r>
      <w:proofErr w:type="gramEnd"/>
      <w:r w:rsidR="00C03563">
        <w:t xml:space="preserve"> Housing Federation </w:t>
      </w:r>
      <w:r>
        <w:t>Code of Governance (</w:t>
      </w:r>
      <w:proofErr w:type="spellStart"/>
      <w:r>
        <w:t>CoG</w:t>
      </w:r>
      <w:proofErr w:type="spellEnd"/>
      <w:r w:rsidR="00C03563">
        <w:t xml:space="preserve"> 2015</w:t>
      </w:r>
      <w:r>
        <w:t>) requires governance arrangements to be reviewed annually and that a statement of compliance is included in the statutory accounts.  The purpose of this report is to review</w:t>
      </w:r>
      <w:r w:rsidR="007A54FA">
        <w:t>:</w:t>
      </w:r>
    </w:p>
    <w:p w14:paraId="104A0827" w14:textId="77777777" w:rsidR="007937F7" w:rsidRDefault="00647667" w:rsidP="007937F7">
      <w:pPr>
        <w:jc w:val="both"/>
      </w:pPr>
      <w:r w:rsidRPr="00DB32C7">
        <w:rPr>
          <w:b/>
        </w:rPr>
        <w:t xml:space="preserve">COMPLIANCE WITH </w:t>
      </w:r>
      <w:r w:rsidR="00D54EBE">
        <w:rPr>
          <w:b/>
        </w:rPr>
        <w:t xml:space="preserve">GROUP </w:t>
      </w:r>
      <w:proofErr w:type="spellStart"/>
      <w:r w:rsidRPr="00DB32C7">
        <w:rPr>
          <w:b/>
        </w:rPr>
        <w:t>CoG</w:t>
      </w:r>
      <w:proofErr w:type="spellEnd"/>
      <w:r w:rsidR="007937F7" w:rsidRPr="007937F7">
        <w:t xml:space="preserve"> </w:t>
      </w:r>
    </w:p>
    <w:p w14:paraId="032771C6" w14:textId="77777777" w:rsidR="007937F7" w:rsidRPr="007937F7" w:rsidRDefault="007937F7" w:rsidP="00647667">
      <w:pPr>
        <w:jc w:val="both"/>
      </w:pPr>
      <w:r>
        <w:t xml:space="preserve">The Code adopted by the Group has 8 sections. 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7F7" w:rsidRPr="00F56005" w14:paraId="2C69D329" w14:textId="77777777" w:rsidTr="007937F7">
        <w:tc>
          <w:tcPr>
            <w:tcW w:w="9016" w:type="dxa"/>
            <w:shd w:val="clear" w:color="auto" w:fill="0083A9"/>
            <w:vAlign w:val="center"/>
          </w:tcPr>
          <w:p w14:paraId="1B4475D9" w14:textId="77777777" w:rsidR="007937F7" w:rsidRPr="00F56005" w:rsidRDefault="007937F7" w:rsidP="007937F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30"/>
                <w:szCs w:val="30"/>
              </w:rPr>
            </w:pPr>
            <w:r w:rsidRPr="00F56005">
              <w:rPr>
                <w:rFonts w:ascii="Arial" w:hAnsi="Arial" w:cs="Arial"/>
                <w:b/>
                <w:color w:val="FFFFFF"/>
                <w:sz w:val="30"/>
                <w:szCs w:val="30"/>
              </w:rPr>
              <w:t>Compliance with the Code of Governance</w:t>
            </w:r>
            <w:r w:rsidR="006D198F">
              <w:rPr>
                <w:rFonts w:ascii="Arial" w:hAnsi="Arial" w:cs="Arial"/>
                <w:b/>
                <w:color w:val="FFFFFF"/>
                <w:sz w:val="30"/>
                <w:szCs w:val="30"/>
              </w:rPr>
              <w:t xml:space="preserve"> 2015</w:t>
            </w:r>
          </w:p>
        </w:tc>
      </w:tr>
    </w:tbl>
    <w:p w14:paraId="72D6A7C1" w14:textId="77777777" w:rsidR="007937F7" w:rsidRPr="00A3072F" w:rsidRDefault="007937F7">
      <w:pPr>
        <w:rPr>
          <w:sz w:val="2"/>
          <w:szCs w:val="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57"/>
        <w:gridCol w:w="5525"/>
        <w:gridCol w:w="834"/>
      </w:tblGrid>
      <w:tr w:rsidR="00A41747" w:rsidRPr="00F56005" w14:paraId="14FD620A" w14:textId="77777777" w:rsidTr="00A41747">
        <w:tc>
          <w:tcPr>
            <w:tcW w:w="2657" w:type="dxa"/>
            <w:shd w:val="clear" w:color="auto" w:fill="FFC000"/>
            <w:vAlign w:val="center"/>
          </w:tcPr>
          <w:p w14:paraId="2FEE8B7A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</w:t>
            </w:r>
          </w:p>
        </w:tc>
        <w:tc>
          <w:tcPr>
            <w:tcW w:w="5525" w:type="dxa"/>
            <w:shd w:val="clear" w:color="auto" w:fill="FFC000"/>
            <w:vAlign w:val="center"/>
          </w:tcPr>
          <w:p w14:paraId="6D69A49B" w14:textId="77777777" w:rsidR="00A41747" w:rsidRPr="00F56005" w:rsidRDefault="00A41747" w:rsidP="00A41747">
            <w:pPr>
              <w:spacing w:before="40" w:after="40"/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834" w:type="dxa"/>
            <w:shd w:val="clear" w:color="auto" w:fill="FFC000"/>
            <w:vAlign w:val="center"/>
          </w:tcPr>
          <w:p w14:paraId="08DCAD9F" w14:textId="77777777" w:rsidR="00A41747" w:rsidRPr="00F56005" w:rsidRDefault="00A41747" w:rsidP="00A41747">
            <w:pPr>
              <w:spacing w:before="40" w:after="40"/>
              <w:jc w:val="center"/>
              <w:rPr>
                <w:noProof/>
              </w:rPr>
            </w:pPr>
          </w:p>
        </w:tc>
      </w:tr>
      <w:tr w:rsidR="00A41747" w:rsidRPr="00F56005" w14:paraId="321C9C5B" w14:textId="77777777" w:rsidTr="007937F7">
        <w:tc>
          <w:tcPr>
            <w:tcW w:w="2657" w:type="dxa"/>
            <w:shd w:val="clear" w:color="auto" w:fill="DEEAF6"/>
            <w:vAlign w:val="center"/>
          </w:tcPr>
          <w:p w14:paraId="57A6D2BA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A: </w:t>
            </w:r>
            <w:r w:rsidRPr="00F56005">
              <w:rPr>
                <w:rFonts w:ascii="Arial" w:hAnsi="Arial" w:cs="Arial"/>
              </w:rPr>
              <w:t>Compliance with this code</w:t>
            </w:r>
          </w:p>
        </w:tc>
        <w:tc>
          <w:tcPr>
            <w:tcW w:w="5525" w:type="dxa"/>
            <w:vAlign w:val="center"/>
          </w:tcPr>
          <w:p w14:paraId="35EF1325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</w:rPr>
            </w:pPr>
            <w:r w:rsidRPr="00F56005">
              <w:rPr>
                <w:rFonts w:ascii="Arial" w:hAnsi="Arial" w:cs="Arial"/>
              </w:rPr>
              <w:t>Not applicable due to full compliance with Code provisions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2FBE49A9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5818384F" wp14:editId="34350CE3">
                  <wp:extent cx="255270" cy="265773"/>
                  <wp:effectExtent l="0" t="0" r="0" b="1270"/>
                  <wp:docPr id="25" name="Picture 25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66F20300" w14:textId="77777777" w:rsidTr="00D54EBE">
        <w:trPr>
          <w:trHeight w:val="988"/>
        </w:trPr>
        <w:tc>
          <w:tcPr>
            <w:tcW w:w="2657" w:type="dxa"/>
            <w:shd w:val="clear" w:color="auto" w:fill="DEEAF6"/>
            <w:vAlign w:val="center"/>
          </w:tcPr>
          <w:p w14:paraId="0EA71F3C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B: </w:t>
            </w:r>
            <w:r w:rsidRPr="00F56005">
              <w:rPr>
                <w:rFonts w:ascii="Arial" w:hAnsi="Arial" w:cs="Arial"/>
              </w:rPr>
              <w:t>Constitution and composition of the board</w:t>
            </w:r>
          </w:p>
        </w:tc>
        <w:tc>
          <w:tcPr>
            <w:tcW w:w="5525" w:type="dxa"/>
            <w:vAlign w:val="center"/>
          </w:tcPr>
          <w:p w14:paraId="3C6601E9" w14:textId="77777777" w:rsidR="00A41747" w:rsidRDefault="00A41747" w:rsidP="00A41747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Articles</w:t>
            </w:r>
          </w:p>
          <w:p w14:paraId="30641B91" w14:textId="77777777" w:rsidR="00A41747" w:rsidRDefault="00A41747" w:rsidP="00A41747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Governance Framework</w:t>
            </w:r>
          </w:p>
          <w:p w14:paraId="0B824DF0" w14:textId="77777777" w:rsidR="00A41747" w:rsidRPr="00D54EBE" w:rsidRDefault="00A41747" w:rsidP="00D54EBE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Board Terms of Reference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20F4B5DF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723C204D" wp14:editId="07B020E3">
                  <wp:extent cx="255270" cy="265773"/>
                  <wp:effectExtent l="0" t="0" r="0" b="1270"/>
                  <wp:docPr id="26" name="Picture 26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1172EE84" w14:textId="77777777" w:rsidTr="00D54EBE">
        <w:trPr>
          <w:trHeight w:val="1257"/>
        </w:trPr>
        <w:tc>
          <w:tcPr>
            <w:tcW w:w="2657" w:type="dxa"/>
            <w:shd w:val="clear" w:color="auto" w:fill="DEEAF6"/>
            <w:vAlign w:val="center"/>
          </w:tcPr>
          <w:p w14:paraId="6D6A12C7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C: </w:t>
            </w:r>
            <w:r w:rsidRPr="00F56005">
              <w:rPr>
                <w:rFonts w:ascii="Arial" w:hAnsi="Arial" w:cs="Arial"/>
              </w:rPr>
              <w:t>Essential functions of the board</w:t>
            </w:r>
          </w:p>
        </w:tc>
        <w:tc>
          <w:tcPr>
            <w:tcW w:w="5525" w:type="dxa"/>
            <w:vAlign w:val="center"/>
          </w:tcPr>
          <w:p w14:paraId="195F5F32" w14:textId="77777777" w:rsidR="00A41747" w:rsidRDefault="00A41747" w:rsidP="00A41747">
            <w:pPr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Articles</w:t>
            </w:r>
          </w:p>
          <w:p w14:paraId="7AD3C139" w14:textId="77777777" w:rsidR="00A41747" w:rsidRDefault="00A41747" w:rsidP="00A41747">
            <w:pPr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Governance Framework</w:t>
            </w:r>
          </w:p>
          <w:p w14:paraId="28A8B386" w14:textId="77777777" w:rsidR="00A41747" w:rsidRDefault="00A41747" w:rsidP="00A41747">
            <w:pPr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Board Terms of Reference</w:t>
            </w:r>
          </w:p>
          <w:p w14:paraId="6AFBF36B" w14:textId="77777777" w:rsidR="00A41747" w:rsidRPr="00D54EBE" w:rsidRDefault="00A41747" w:rsidP="00D54EBE">
            <w:pPr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description of Chair and Board members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5EB6449C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0AEA6222" wp14:editId="5CC378A2">
                  <wp:extent cx="255270" cy="265773"/>
                  <wp:effectExtent l="0" t="0" r="0" b="1270"/>
                  <wp:docPr id="27" name="Picture 27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009C7BBA" w14:textId="77777777" w:rsidTr="00D54EBE">
        <w:trPr>
          <w:trHeight w:val="2834"/>
        </w:trPr>
        <w:tc>
          <w:tcPr>
            <w:tcW w:w="2657" w:type="dxa"/>
            <w:shd w:val="clear" w:color="auto" w:fill="DEEAF6"/>
            <w:vAlign w:val="center"/>
          </w:tcPr>
          <w:p w14:paraId="0134E944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D: </w:t>
            </w:r>
            <w:r w:rsidRPr="00F56005">
              <w:rPr>
                <w:rFonts w:ascii="Arial" w:hAnsi="Arial" w:cs="Arial"/>
              </w:rPr>
              <w:t>Board skills, renewal and review</w:t>
            </w:r>
          </w:p>
        </w:tc>
        <w:tc>
          <w:tcPr>
            <w:tcW w:w="5525" w:type="dxa"/>
            <w:vAlign w:val="center"/>
          </w:tcPr>
          <w:p w14:paraId="65E588BA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Articles</w:t>
            </w:r>
          </w:p>
          <w:p w14:paraId="31BB3C29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Governance Framework</w:t>
            </w:r>
          </w:p>
          <w:p w14:paraId="76FFC81C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Board Terms of Reference</w:t>
            </w:r>
          </w:p>
          <w:p w14:paraId="4DACC47F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 w:rsidRPr="0089470F">
              <w:rPr>
                <w:rFonts w:ascii="Arial" w:hAnsi="Arial" w:cs="Arial"/>
              </w:rPr>
              <w:t xml:space="preserve">Provisions on </w:t>
            </w:r>
            <w:r>
              <w:rPr>
                <w:rFonts w:ascii="Arial" w:hAnsi="Arial" w:cs="Arial"/>
              </w:rPr>
              <w:t>Board member pay do not apply</w:t>
            </w:r>
          </w:p>
          <w:p w14:paraId="77FB0C62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policies and procedures on Board matters adopted</w:t>
            </w:r>
          </w:p>
          <w:p w14:paraId="7516FA0B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needs discussed at Board meetings</w:t>
            </w:r>
          </w:p>
          <w:p w14:paraId="0D836E50" w14:textId="77777777" w:rsidR="00A41747" w:rsidRDefault="00A41747" w:rsidP="00A41747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Appraisals undertaken over 2019/20 and reported to January 2020 Board</w:t>
            </w:r>
          </w:p>
          <w:p w14:paraId="062B9F59" w14:textId="77777777" w:rsidR="00A41747" w:rsidRPr="00D54EBE" w:rsidRDefault="00A41747" w:rsidP="00D54EBE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Board Review of Governance annually</w:t>
            </w:r>
          </w:p>
        </w:tc>
        <w:tc>
          <w:tcPr>
            <w:tcW w:w="834" w:type="dxa"/>
            <w:shd w:val="clear" w:color="auto" w:fill="E2EFD9" w:themeFill="accent6" w:themeFillTint="33"/>
            <w:vAlign w:val="center"/>
          </w:tcPr>
          <w:p w14:paraId="528CDA38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51F7C73A" wp14:editId="29A2D6E3">
                  <wp:extent cx="255270" cy="265773"/>
                  <wp:effectExtent l="0" t="0" r="0" b="1270"/>
                  <wp:docPr id="5" name="Picture 5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2045A6CE" w14:textId="77777777" w:rsidTr="00D54EBE">
        <w:trPr>
          <w:trHeight w:val="1259"/>
        </w:trPr>
        <w:tc>
          <w:tcPr>
            <w:tcW w:w="2657" w:type="dxa"/>
            <w:shd w:val="clear" w:color="auto" w:fill="DEEAF6"/>
            <w:vAlign w:val="center"/>
          </w:tcPr>
          <w:p w14:paraId="0E4338D5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E: </w:t>
            </w:r>
            <w:r w:rsidRPr="00F56005">
              <w:rPr>
                <w:rFonts w:ascii="Arial" w:hAnsi="Arial" w:cs="Arial"/>
              </w:rPr>
              <w:t>Conduct of board and committee business</w:t>
            </w:r>
          </w:p>
        </w:tc>
        <w:tc>
          <w:tcPr>
            <w:tcW w:w="5525" w:type="dxa"/>
            <w:vAlign w:val="center"/>
          </w:tcPr>
          <w:p w14:paraId="43E807F1" w14:textId="77777777" w:rsidR="00A41747" w:rsidRDefault="00A41747" w:rsidP="00A41747">
            <w:pPr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Governance Framework</w:t>
            </w:r>
          </w:p>
          <w:p w14:paraId="37856F3F" w14:textId="77777777" w:rsidR="00A41747" w:rsidRDefault="00A41747" w:rsidP="00A41747">
            <w:pPr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STFH Board Terms of Reference</w:t>
            </w:r>
          </w:p>
          <w:p w14:paraId="15099902" w14:textId="77777777" w:rsidR="00A41747" w:rsidRPr="00D54EBE" w:rsidRDefault="00A41747" w:rsidP="00D54EBE">
            <w:pPr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 w:rsidRPr="00DE2398">
              <w:rPr>
                <w:rFonts w:ascii="Arial" w:hAnsi="Arial" w:cs="Arial"/>
              </w:rPr>
              <w:t>E5 (chairing the audit committee) and E6 (remuneration committee) do not apply</w:t>
            </w:r>
          </w:p>
        </w:tc>
        <w:tc>
          <w:tcPr>
            <w:tcW w:w="834" w:type="dxa"/>
            <w:shd w:val="clear" w:color="auto" w:fill="E2EFD9" w:themeFill="accent6" w:themeFillTint="33"/>
            <w:vAlign w:val="center"/>
          </w:tcPr>
          <w:p w14:paraId="2C3FA264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671A7BA2" wp14:editId="7E05E664">
                  <wp:extent cx="255270" cy="265773"/>
                  <wp:effectExtent l="0" t="0" r="0" b="1270"/>
                  <wp:docPr id="6" name="Picture 6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52DD768B" w14:textId="77777777" w:rsidTr="00D54EBE">
        <w:trPr>
          <w:trHeight w:val="1680"/>
        </w:trPr>
        <w:tc>
          <w:tcPr>
            <w:tcW w:w="2657" w:type="dxa"/>
            <w:shd w:val="clear" w:color="auto" w:fill="DEEAF6"/>
            <w:vAlign w:val="center"/>
          </w:tcPr>
          <w:p w14:paraId="2B1CE376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F: </w:t>
            </w:r>
            <w:r w:rsidRPr="00F56005">
              <w:rPr>
                <w:rFonts w:ascii="Arial" w:hAnsi="Arial" w:cs="Arial"/>
              </w:rPr>
              <w:t>Audit and risk</w:t>
            </w:r>
          </w:p>
        </w:tc>
        <w:tc>
          <w:tcPr>
            <w:tcW w:w="5525" w:type="dxa"/>
            <w:vAlign w:val="center"/>
          </w:tcPr>
          <w:p w14:paraId="0E4EE94E" w14:textId="77777777" w:rsidR="00A41747" w:rsidRDefault="00A41747" w:rsidP="00A41747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</w:rPr>
            </w:pPr>
            <w:r w:rsidRPr="00DE2398">
              <w:rPr>
                <w:rFonts w:ascii="Arial" w:hAnsi="Arial" w:cs="Arial"/>
              </w:rPr>
              <w:t>Internal contro</w:t>
            </w:r>
            <w:r>
              <w:rPr>
                <w:rFonts w:ascii="Arial" w:hAnsi="Arial" w:cs="Arial"/>
              </w:rPr>
              <w:t>ls are in place at group level</w:t>
            </w:r>
          </w:p>
          <w:p w14:paraId="04591B19" w14:textId="77777777" w:rsidR="00A41747" w:rsidRDefault="00A41747" w:rsidP="00A41747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</w:rPr>
            </w:pPr>
            <w:r w:rsidRPr="00DE2398">
              <w:rPr>
                <w:rFonts w:ascii="Arial" w:hAnsi="Arial" w:cs="Arial"/>
              </w:rPr>
              <w:t xml:space="preserve">Board has reviewed the risk register and will </w:t>
            </w:r>
            <w:r>
              <w:rPr>
                <w:rFonts w:ascii="Arial" w:hAnsi="Arial" w:cs="Arial"/>
              </w:rPr>
              <w:t>continue to do so regularly</w:t>
            </w:r>
          </w:p>
          <w:p w14:paraId="697145AD" w14:textId="77777777" w:rsidR="00A41747" w:rsidRDefault="00A41747" w:rsidP="00A41747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</w:t>
            </w:r>
            <w:r w:rsidRPr="00DE2398">
              <w:rPr>
                <w:rFonts w:ascii="Arial" w:hAnsi="Arial" w:cs="Arial"/>
              </w:rPr>
              <w:t>itors are independent</w:t>
            </w:r>
          </w:p>
          <w:p w14:paraId="398AF582" w14:textId="77777777" w:rsidR="00A41747" w:rsidRPr="00D54EBE" w:rsidRDefault="00A41747" w:rsidP="00D54EBE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and external audit process overseen by Parent Audit, Risk &amp; Treasury Committee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22F95924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436483C9" wp14:editId="0220A0CC">
                  <wp:extent cx="255270" cy="265773"/>
                  <wp:effectExtent l="0" t="0" r="0" b="1270"/>
                  <wp:docPr id="30" name="Picture 30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4253D5E8" w14:textId="77777777" w:rsidTr="007937F7">
        <w:trPr>
          <w:trHeight w:val="728"/>
        </w:trPr>
        <w:tc>
          <w:tcPr>
            <w:tcW w:w="2657" w:type="dxa"/>
            <w:shd w:val="clear" w:color="auto" w:fill="DEEAF6"/>
            <w:vAlign w:val="center"/>
          </w:tcPr>
          <w:p w14:paraId="1519A2BE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lastRenderedPageBreak/>
              <w:t xml:space="preserve">Part G: </w:t>
            </w:r>
            <w:r w:rsidRPr="00F56005">
              <w:rPr>
                <w:rFonts w:ascii="Arial" w:hAnsi="Arial" w:cs="Arial"/>
              </w:rPr>
              <w:t>The chief executive</w:t>
            </w:r>
          </w:p>
        </w:tc>
        <w:tc>
          <w:tcPr>
            <w:tcW w:w="5525" w:type="dxa"/>
            <w:vAlign w:val="center"/>
          </w:tcPr>
          <w:p w14:paraId="13850A40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D4186">
              <w:rPr>
                <w:rFonts w:ascii="Arial" w:hAnsi="Arial" w:cs="Arial"/>
              </w:rPr>
              <w:t xml:space="preserve">hese provisions do not apply given the size of the </w:t>
            </w:r>
            <w:r>
              <w:rPr>
                <w:rFonts w:ascii="Arial" w:hAnsi="Arial" w:cs="Arial"/>
              </w:rPr>
              <w:t>Charity</w:t>
            </w:r>
            <w:r w:rsidRPr="00DD4186">
              <w:rPr>
                <w:rFonts w:ascii="Arial" w:hAnsi="Arial" w:cs="Arial"/>
              </w:rPr>
              <w:t>.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71E6E7B4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38C55F5E" wp14:editId="06E867E7">
                  <wp:extent cx="255270" cy="265773"/>
                  <wp:effectExtent l="0" t="0" r="0" b="1270"/>
                  <wp:docPr id="31" name="Picture 31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47" w:rsidRPr="00F56005" w14:paraId="2D81699D" w14:textId="77777777" w:rsidTr="00A41747">
        <w:trPr>
          <w:trHeight w:val="1066"/>
        </w:trPr>
        <w:tc>
          <w:tcPr>
            <w:tcW w:w="2657" w:type="dxa"/>
            <w:shd w:val="clear" w:color="auto" w:fill="DEEAF6"/>
            <w:vAlign w:val="center"/>
          </w:tcPr>
          <w:p w14:paraId="25420651" w14:textId="77777777" w:rsidR="00A41747" w:rsidRPr="00F56005" w:rsidRDefault="00A41747" w:rsidP="00A41747">
            <w:pPr>
              <w:spacing w:before="40" w:after="40"/>
              <w:rPr>
                <w:rFonts w:ascii="Arial" w:hAnsi="Arial" w:cs="Arial"/>
                <w:b/>
              </w:rPr>
            </w:pPr>
            <w:r w:rsidRPr="00F56005">
              <w:rPr>
                <w:rFonts w:ascii="Arial" w:hAnsi="Arial" w:cs="Arial"/>
                <w:b/>
              </w:rPr>
              <w:t xml:space="preserve">Part H: </w:t>
            </w:r>
            <w:r w:rsidRPr="00F56005">
              <w:rPr>
                <w:rFonts w:ascii="Arial" w:hAnsi="Arial" w:cs="Arial"/>
              </w:rPr>
              <w:t>Conduct, probity and openness</w:t>
            </w:r>
          </w:p>
        </w:tc>
        <w:tc>
          <w:tcPr>
            <w:tcW w:w="5525" w:type="dxa"/>
            <w:vAlign w:val="center"/>
          </w:tcPr>
          <w:p w14:paraId="70F90D84" w14:textId="77777777" w:rsidR="00A41747" w:rsidRDefault="00A41747" w:rsidP="00A41747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Payments, Benefits and Interests Policy</w:t>
            </w:r>
          </w:p>
          <w:p w14:paraId="1D8874B8" w14:textId="77777777" w:rsidR="00A41747" w:rsidRDefault="00A41747" w:rsidP="00A41747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Framework</w:t>
            </w:r>
          </w:p>
          <w:p w14:paraId="16F282C0" w14:textId="77777777" w:rsidR="00A41747" w:rsidRPr="00A41747" w:rsidRDefault="00A41747" w:rsidP="00A41747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 w:rsidRPr="00DD4186">
              <w:rPr>
                <w:rFonts w:ascii="Arial" w:hAnsi="Arial" w:cs="Arial"/>
              </w:rPr>
              <w:t xml:space="preserve">The work of the </w:t>
            </w:r>
            <w:r>
              <w:rPr>
                <w:rFonts w:ascii="Arial" w:hAnsi="Arial" w:cs="Arial"/>
              </w:rPr>
              <w:t>Charity</w:t>
            </w:r>
            <w:r w:rsidRPr="00DD4186">
              <w:rPr>
                <w:rFonts w:ascii="Arial" w:hAnsi="Arial" w:cs="Arial"/>
              </w:rPr>
              <w:t xml:space="preserve"> is </w:t>
            </w:r>
            <w:r>
              <w:rPr>
                <w:rFonts w:ascii="Arial" w:hAnsi="Arial" w:cs="Arial"/>
              </w:rPr>
              <w:t>communicated to stakeholders</w:t>
            </w:r>
            <w:r w:rsidRPr="00DD41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34" w:type="dxa"/>
            <w:shd w:val="clear" w:color="auto" w:fill="E2EFD9"/>
            <w:vAlign w:val="center"/>
          </w:tcPr>
          <w:p w14:paraId="708EB34C" w14:textId="77777777" w:rsidR="00A41747" w:rsidRPr="00F56005" w:rsidRDefault="00A41747" w:rsidP="00A4174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56005">
              <w:rPr>
                <w:noProof/>
              </w:rPr>
              <w:drawing>
                <wp:inline distT="0" distB="0" distL="0" distR="0" wp14:anchorId="1CE6CFBA" wp14:editId="5DBBDEFF">
                  <wp:extent cx="255270" cy="265773"/>
                  <wp:effectExtent l="0" t="0" r="0" b="1270"/>
                  <wp:docPr id="32" name="Picture 32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3" cy="28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D8161" w14:textId="77777777" w:rsidR="00A41747" w:rsidRDefault="00A41747" w:rsidP="00647667">
      <w:pPr>
        <w:jc w:val="both"/>
      </w:pPr>
    </w:p>
    <w:p w14:paraId="79193BCE" w14:textId="77777777" w:rsidR="006D198F" w:rsidRDefault="00DB32C7" w:rsidP="00C03563">
      <w:pPr>
        <w:jc w:val="both"/>
      </w:pPr>
      <w:r>
        <w:t>In summary, the Trust can report it is compliant with the sections of the Code relevant to it in its annual report and accounts.</w:t>
      </w:r>
      <w:r w:rsidR="00D54EBE">
        <w:t xml:space="preserve">  As there are no compliance gaps, the full self-assessment is not included in the Board papers but is available from the Company Secretary on request.</w:t>
      </w:r>
    </w:p>
    <w:sectPr w:rsidR="006D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515"/>
    <w:multiLevelType w:val="hybridMultilevel"/>
    <w:tmpl w:val="C9E4B044"/>
    <w:lvl w:ilvl="0" w:tplc="BFB8AB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FFD"/>
    <w:multiLevelType w:val="hybridMultilevel"/>
    <w:tmpl w:val="15744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442"/>
    <w:multiLevelType w:val="hybridMultilevel"/>
    <w:tmpl w:val="AAB6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1C9"/>
    <w:multiLevelType w:val="hybridMultilevel"/>
    <w:tmpl w:val="B784BDC2"/>
    <w:lvl w:ilvl="0" w:tplc="2ACC4E5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1A26"/>
    <w:multiLevelType w:val="hybridMultilevel"/>
    <w:tmpl w:val="8D4C1EFA"/>
    <w:lvl w:ilvl="0" w:tplc="DF66069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4EE9"/>
    <w:multiLevelType w:val="hybridMultilevel"/>
    <w:tmpl w:val="FB94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3F1"/>
    <w:multiLevelType w:val="hybridMultilevel"/>
    <w:tmpl w:val="B33EEFB4"/>
    <w:lvl w:ilvl="0" w:tplc="6E9CEA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D6055"/>
    <w:multiLevelType w:val="hybridMultilevel"/>
    <w:tmpl w:val="B23065B2"/>
    <w:lvl w:ilvl="0" w:tplc="41B8B8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F5427AD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C873A9"/>
    <w:multiLevelType w:val="hybridMultilevel"/>
    <w:tmpl w:val="29A03D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A2659"/>
    <w:multiLevelType w:val="hybridMultilevel"/>
    <w:tmpl w:val="F4D88A6A"/>
    <w:lvl w:ilvl="0" w:tplc="8D742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0258"/>
    <w:multiLevelType w:val="hybridMultilevel"/>
    <w:tmpl w:val="B0C28310"/>
    <w:lvl w:ilvl="0" w:tplc="7D2C74B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3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80AD8"/>
    <w:multiLevelType w:val="hybridMultilevel"/>
    <w:tmpl w:val="7074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29373">
    <w:abstractNumId w:val="1"/>
  </w:num>
  <w:num w:numId="2" w16cid:durableId="820922508">
    <w:abstractNumId w:val="5"/>
  </w:num>
  <w:num w:numId="3" w16cid:durableId="1514227981">
    <w:abstractNumId w:val="2"/>
  </w:num>
  <w:num w:numId="4" w16cid:durableId="1845976207">
    <w:abstractNumId w:val="8"/>
  </w:num>
  <w:num w:numId="5" w16cid:durableId="1241134700">
    <w:abstractNumId w:val="0"/>
  </w:num>
  <w:num w:numId="6" w16cid:durableId="898326373">
    <w:abstractNumId w:val="6"/>
  </w:num>
  <w:num w:numId="7" w16cid:durableId="1862545096">
    <w:abstractNumId w:val="4"/>
  </w:num>
  <w:num w:numId="8" w16cid:durableId="1415198433">
    <w:abstractNumId w:val="3"/>
  </w:num>
  <w:num w:numId="9" w16cid:durableId="1548645318">
    <w:abstractNumId w:val="10"/>
  </w:num>
  <w:num w:numId="10" w16cid:durableId="1298410874">
    <w:abstractNumId w:val="9"/>
  </w:num>
  <w:num w:numId="11" w16cid:durableId="282464269">
    <w:abstractNumId w:val="7"/>
  </w:num>
  <w:num w:numId="12" w16cid:durableId="173678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67"/>
    <w:rsid w:val="000A3600"/>
    <w:rsid w:val="000F2F41"/>
    <w:rsid w:val="00126C5C"/>
    <w:rsid w:val="002554EC"/>
    <w:rsid w:val="00330B24"/>
    <w:rsid w:val="0035060C"/>
    <w:rsid w:val="00415D72"/>
    <w:rsid w:val="005C5080"/>
    <w:rsid w:val="00647667"/>
    <w:rsid w:val="00651392"/>
    <w:rsid w:val="006751D0"/>
    <w:rsid w:val="006D198F"/>
    <w:rsid w:val="00767609"/>
    <w:rsid w:val="007937F7"/>
    <w:rsid w:val="007A54FA"/>
    <w:rsid w:val="007D1FDE"/>
    <w:rsid w:val="007E2F30"/>
    <w:rsid w:val="008905AB"/>
    <w:rsid w:val="00890E73"/>
    <w:rsid w:val="008B3AFC"/>
    <w:rsid w:val="008C15F6"/>
    <w:rsid w:val="00A3072F"/>
    <w:rsid w:val="00A41747"/>
    <w:rsid w:val="00AC5696"/>
    <w:rsid w:val="00B179D6"/>
    <w:rsid w:val="00C03563"/>
    <w:rsid w:val="00C33FC6"/>
    <w:rsid w:val="00CC2A7D"/>
    <w:rsid w:val="00D54EBE"/>
    <w:rsid w:val="00DB32C7"/>
    <w:rsid w:val="00E267E0"/>
    <w:rsid w:val="00E6542B"/>
    <w:rsid w:val="00E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A5E4"/>
  <w15:chartTrackingRefBased/>
  <w15:docId w15:val="{8EBDAEB9-1B65-45E4-AD2A-8B6137E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600"/>
    <w:pPr>
      <w:ind w:left="720"/>
      <w:contextualSpacing/>
    </w:pPr>
  </w:style>
  <w:style w:type="table" w:customStyle="1" w:styleId="TableGrid3">
    <w:name w:val="Table Grid3"/>
    <w:basedOn w:val="TableNormal"/>
    <w:next w:val="TableGrid"/>
    <w:rsid w:val="0079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DF76-32E5-4E7A-BE0D-DEAD0E92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Baker</dc:creator>
  <cp:keywords/>
  <dc:description/>
  <cp:lastModifiedBy>maureen pardy</cp:lastModifiedBy>
  <cp:revision>2</cp:revision>
  <dcterms:created xsi:type="dcterms:W3CDTF">2022-04-14T20:05:00Z</dcterms:created>
  <dcterms:modified xsi:type="dcterms:W3CDTF">2022-04-14T20:05:00Z</dcterms:modified>
</cp:coreProperties>
</file>